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18" w:rsidRDefault="008C4218" w:rsidP="008C4218">
      <w:pPr>
        <w:spacing w:after="0" w:line="240" w:lineRule="auto"/>
        <w:rPr>
          <w:rFonts w:ascii="Arial" w:eastAsia="Times New Roman" w:hAnsi="Arial" w:cs="Arial"/>
          <w:color w:val="2A2A2A"/>
          <w:sz w:val="24"/>
          <w:szCs w:val="24"/>
        </w:rPr>
      </w:pPr>
    </w:p>
    <w:p w:rsidR="008C4218" w:rsidRDefault="008C4218" w:rsidP="008C4218">
      <w:pPr>
        <w:spacing w:after="0" w:line="240" w:lineRule="auto"/>
        <w:rPr>
          <w:rFonts w:ascii="Arial" w:eastAsia="Times New Roman" w:hAnsi="Arial" w:cs="Arial"/>
          <w:color w:val="2A2A2A"/>
          <w:sz w:val="24"/>
          <w:szCs w:val="24"/>
        </w:rPr>
      </w:pPr>
      <w:r>
        <w:rPr>
          <w:rFonts w:ascii="Arial" w:eastAsia="Times New Roman" w:hAnsi="Arial" w:cs="Arial"/>
          <w:color w:val="2A2A2A"/>
          <w:sz w:val="24"/>
          <w:szCs w:val="24"/>
        </w:rPr>
        <w:t>PACREATITIS 2</w:t>
      </w:r>
    </w:p>
    <w:p w:rsidR="008C4218" w:rsidRDefault="008C4218" w:rsidP="008C4218">
      <w:pPr>
        <w:spacing w:after="0" w:line="240" w:lineRule="auto"/>
        <w:rPr>
          <w:rFonts w:ascii="Arial" w:eastAsia="Times New Roman" w:hAnsi="Arial" w:cs="Arial"/>
          <w:color w:val="2A2A2A"/>
          <w:sz w:val="24"/>
          <w:szCs w:val="24"/>
        </w:rPr>
      </w:pPr>
    </w:p>
    <w:p w:rsidR="008C4218" w:rsidRPr="008C4218" w:rsidRDefault="008C4218" w:rsidP="008C4218">
      <w:pPr>
        <w:spacing w:after="0" w:line="240" w:lineRule="auto"/>
        <w:rPr>
          <w:rFonts w:ascii="Arial" w:eastAsia="Times New Roman" w:hAnsi="Arial" w:cs="Arial"/>
          <w:color w:val="2A2A2A"/>
          <w:sz w:val="24"/>
          <w:szCs w:val="24"/>
        </w:rPr>
      </w:pPr>
      <w:r w:rsidRPr="008C4218">
        <w:rPr>
          <w:rFonts w:ascii="Arial" w:eastAsia="Times New Roman" w:hAnsi="Arial" w:cs="Arial"/>
          <w:color w:val="2A2A2A"/>
          <w:sz w:val="24"/>
          <w:szCs w:val="24"/>
        </w:rPr>
        <w:t>Recognizing patients with severe acute pancreatitis as soon as possible is critical for achieving optimal outcomes. Management depends largely on severity. Medical treatment of mild acute pancreatitis is relatively straightforward. Treatment of severe acute pancreatitis involves intensive care. Surgical intervention (open or minimally invasive) is indicated in selected cases.</w:t>
      </w:r>
    </w:p>
    <w:p w:rsidR="008C4218" w:rsidRPr="008C4218" w:rsidRDefault="008C4218" w:rsidP="008C4218">
      <w:pPr>
        <w:spacing w:before="107" w:after="107" w:line="240" w:lineRule="auto"/>
        <w:outlineLvl w:val="2"/>
        <w:rPr>
          <w:rFonts w:ascii="Arial" w:eastAsia="Times New Roman" w:hAnsi="Arial" w:cs="Arial"/>
          <w:color w:val="2A2A2A"/>
          <w:sz w:val="27"/>
          <w:szCs w:val="27"/>
        </w:rPr>
      </w:pPr>
      <w:r w:rsidRPr="008C4218">
        <w:rPr>
          <w:rFonts w:ascii="Arial" w:eastAsia="Times New Roman" w:hAnsi="Arial" w:cs="Arial"/>
          <w:color w:val="2A2A2A"/>
          <w:sz w:val="27"/>
          <w:szCs w:val="27"/>
        </w:rPr>
        <w:t>Signs and symptoms</w:t>
      </w:r>
    </w:p>
    <w:p w:rsidR="008C4218" w:rsidRPr="008C4218" w:rsidRDefault="008C4218" w:rsidP="008C4218">
      <w:pPr>
        <w:spacing w:after="0" w:line="240" w:lineRule="auto"/>
        <w:rPr>
          <w:rFonts w:ascii="Arial" w:eastAsia="Times New Roman" w:hAnsi="Arial" w:cs="Arial"/>
          <w:color w:val="2A2A2A"/>
          <w:sz w:val="24"/>
          <w:szCs w:val="24"/>
        </w:rPr>
      </w:pPr>
      <w:r w:rsidRPr="008C4218">
        <w:rPr>
          <w:rFonts w:ascii="Arial" w:eastAsia="Times New Roman" w:hAnsi="Arial" w:cs="Arial"/>
          <w:color w:val="2A2A2A"/>
          <w:sz w:val="24"/>
          <w:szCs w:val="24"/>
        </w:rPr>
        <w:t>Symptoms of acute pancreatitis include the following:</w:t>
      </w:r>
    </w:p>
    <w:p w:rsidR="008C4218" w:rsidRPr="008C4218" w:rsidRDefault="008C4218" w:rsidP="008C4218">
      <w:pPr>
        <w:numPr>
          <w:ilvl w:val="0"/>
          <w:numId w:val="1"/>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Abdominal pain (cardinal symptom): Characteristically dull, boring, and steady; usually sudden in onset and gradually becoming more severe until reaching a constant ache; most often located in the upper abdomen and may radiate directly through to the back</w:t>
      </w:r>
    </w:p>
    <w:p w:rsidR="008C4218" w:rsidRPr="008C4218" w:rsidRDefault="008C4218" w:rsidP="008C4218">
      <w:pPr>
        <w:numPr>
          <w:ilvl w:val="0"/>
          <w:numId w:val="1"/>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Nausea and vomiting, sometimes with anorexia</w:t>
      </w:r>
    </w:p>
    <w:p w:rsidR="008C4218" w:rsidRPr="008C4218" w:rsidRDefault="008C4218" w:rsidP="008C4218">
      <w:pPr>
        <w:numPr>
          <w:ilvl w:val="0"/>
          <w:numId w:val="1"/>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Diarrhea</w:t>
      </w:r>
    </w:p>
    <w:p w:rsidR="008C4218" w:rsidRPr="008C4218" w:rsidRDefault="008C4218" w:rsidP="008C4218">
      <w:pPr>
        <w:spacing w:after="0" w:line="240" w:lineRule="auto"/>
        <w:rPr>
          <w:rFonts w:ascii="Arial" w:eastAsia="Times New Roman" w:hAnsi="Arial" w:cs="Arial"/>
          <w:color w:val="2A2A2A"/>
          <w:sz w:val="24"/>
          <w:szCs w:val="24"/>
        </w:rPr>
      </w:pPr>
      <w:r w:rsidRPr="008C4218">
        <w:rPr>
          <w:rFonts w:ascii="Arial" w:eastAsia="Times New Roman" w:hAnsi="Arial" w:cs="Arial"/>
          <w:color w:val="2A2A2A"/>
          <w:sz w:val="24"/>
          <w:szCs w:val="24"/>
        </w:rPr>
        <w:t>Patients may have a history of the following:</w:t>
      </w:r>
    </w:p>
    <w:p w:rsidR="008C4218" w:rsidRPr="008C4218" w:rsidRDefault="008C4218" w:rsidP="008C4218">
      <w:pPr>
        <w:numPr>
          <w:ilvl w:val="0"/>
          <w:numId w:val="2"/>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Recent operative or other invasive procedures</w:t>
      </w:r>
    </w:p>
    <w:p w:rsidR="008C4218" w:rsidRPr="008C4218" w:rsidRDefault="008C4218" w:rsidP="008C4218">
      <w:pPr>
        <w:numPr>
          <w:ilvl w:val="0"/>
          <w:numId w:val="2"/>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 xml:space="preserve">Family history of </w:t>
      </w:r>
      <w:proofErr w:type="spellStart"/>
      <w:r w:rsidRPr="008C4218">
        <w:rPr>
          <w:rFonts w:ascii="Arial" w:eastAsia="Times New Roman" w:hAnsi="Arial" w:cs="Arial"/>
          <w:color w:val="2A2A2A"/>
          <w:sz w:val="24"/>
          <w:szCs w:val="24"/>
        </w:rPr>
        <w:t>hypertriglyceridemia</w:t>
      </w:r>
      <w:proofErr w:type="spellEnd"/>
    </w:p>
    <w:p w:rsidR="008C4218" w:rsidRPr="008C4218" w:rsidRDefault="008C4218" w:rsidP="008C4218">
      <w:pPr>
        <w:numPr>
          <w:ilvl w:val="0"/>
          <w:numId w:val="2"/>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Previous biliary colic and binge alcohol consumption (major causes of acute pancreatitis)</w:t>
      </w:r>
    </w:p>
    <w:p w:rsidR="008C4218" w:rsidRPr="008C4218" w:rsidRDefault="008C4218" w:rsidP="008C4218">
      <w:pPr>
        <w:spacing w:after="0" w:line="240" w:lineRule="auto"/>
        <w:rPr>
          <w:rFonts w:ascii="Arial" w:eastAsia="Times New Roman" w:hAnsi="Arial" w:cs="Arial"/>
          <w:color w:val="2A2A2A"/>
          <w:sz w:val="24"/>
          <w:szCs w:val="24"/>
        </w:rPr>
      </w:pPr>
      <w:r w:rsidRPr="008C4218">
        <w:rPr>
          <w:rFonts w:ascii="Arial" w:eastAsia="Times New Roman" w:hAnsi="Arial" w:cs="Arial"/>
          <w:color w:val="2A2A2A"/>
          <w:sz w:val="24"/>
          <w:szCs w:val="24"/>
        </w:rPr>
        <w:t>The following physical findings may be noted, varying with the severity of the disease:</w:t>
      </w:r>
    </w:p>
    <w:p w:rsidR="008C4218" w:rsidRPr="008C4218" w:rsidRDefault="008C4218" w:rsidP="008C4218">
      <w:pPr>
        <w:numPr>
          <w:ilvl w:val="0"/>
          <w:numId w:val="3"/>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Fever (76%) and tachycardia (65%); hypotension</w:t>
      </w:r>
    </w:p>
    <w:p w:rsidR="008C4218" w:rsidRPr="008C4218" w:rsidRDefault="008C4218" w:rsidP="008C4218">
      <w:pPr>
        <w:numPr>
          <w:ilvl w:val="0"/>
          <w:numId w:val="3"/>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Abdominal tenderness, muscular guarding (68%), and distention (65%); diminished or absent bowel sounds</w:t>
      </w:r>
    </w:p>
    <w:p w:rsidR="008C4218" w:rsidRPr="008C4218" w:rsidRDefault="008C4218" w:rsidP="008C4218">
      <w:pPr>
        <w:numPr>
          <w:ilvl w:val="0"/>
          <w:numId w:val="3"/>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Jaundice (28%)</w:t>
      </w:r>
    </w:p>
    <w:p w:rsidR="008C4218" w:rsidRPr="008C4218" w:rsidRDefault="008C4218" w:rsidP="008C4218">
      <w:pPr>
        <w:numPr>
          <w:ilvl w:val="0"/>
          <w:numId w:val="3"/>
        </w:numPr>
        <w:spacing w:after="0" w:line="240" w:lineRule="auto"/>
        <w:ind w:left="387"/>
        <w:rPr>
          <w:rFonts w:ascii="Arial" w:eastAsia="Times New Roman" w:hAnsi="Arial" w:cs="Arial"/>
          <w:color w:val="2A2A2A"/>
          <w:sz w:val="24"/>
          <w:szCs w:val="24"/>
        </w:rPr>
      </w:pPr>
      <w:proofErr w:type="spellStart"/>
      <w:r w:rsidRPr="008C4218">
        <w:rPr>
          <w:rFonts w:ascii="Arial" w:eastAsia="Times New Roman" w:hAnsi="Arial" w:cs="Arial"/>
          <w:color w:val="2A2A2A"/>
          <w:sz w:val="24"/>
          <w:szCs w:val="24"/>
        </w:rPr>
        <w:t>Dyspnea</w:t>
      </w:r>
      <w:proofErr w:type="spellEnd"/>
      <w:r w:rsidRPr="008C4218">
        <w:rPr>
          <w:rFonts w:ascii="Arial" w:eastAsia="Times New Roman" w:hAnsi="Arial" w:cs="Arial"/>
          <w:color w:val="2A2A2A"/>
          <w:sz w:val="24"/>
          <w:szCs w:val="24"/>
        </w:rPr>
        <w:t xml:space="preserve"> (10%); </w:t>
      </w:r>
      <w:proofErr w:type="spellStart"/>
      <w:r w:rsidRPr="008C4218">
        <w:rPr>
          <w:rFonts w:ascii="Arial" w:eastAsia="Times New Roman" w:hAnsi="Arial" w:cs="Arial"/>
          <w:color w:val="2A2A2A"/>
          <w:sz w:val="24"/>
          <w:szCs w:val="24"/>
        </w:rPr>
        <w:t>tachypnea</w:t>
      </w:r>
      <w:proofErr w:type="spellEnd"/>
      <w:r w:rsidRPr="008C4218">
        <w:rPr>
          <w:rFonts w:ascii="Arial" w:eastAsia="Times New Roman" w:hAnsi="Arial" w:cs="Arial"/>
          <w:color w:val="2A2A2A"/>
          <w:sz w:val="24"/>
          <w:szCs w:val="24"/>
        </w:rPr>
        <w:t xml:space="preserve">; basilar </w:t>
      </w:r>
      <w:proofErr w:type="spellStart"/>
      <w:r w:rsidRPr="008C4218">
        <w:rPr>
          <w:rFonts w:ascii="Arial" w:eastAsia="Times New Roman" w:hAnsi="Arial" w:cs="Arial"/>
          <w:color w:val="2A2A2A"/>
          <w:sz w:val="24"/>
          <w:szCs w:val="24"/>
        </w:rPr>
        <w:t>rales</w:t>
      </w:r>
      <w:proofErr w:type="spellEnd"/>
      <w:r w:rsidRPr="008C4218">
        <w:rPr>
          <w:rFonts w:ascii="Arial" w:eastAsia="Times New Roman" w:hAnsi="Arial" w:cs="Arial"/>
          <w:color w:val="2A2A2A"/>
          <w:sz w:val="24"/>
          <w:szCs w:val="24"/>
        </w:rPr>
        <w:t>, especially in the left lung</w:t>
      </w:r>
    </w:p>
    <w:p w:rsidR="008C4218" w:rsidRPr="008C4218" w:rsidRDefault="008C4218" w:rsidP="008C4218">
      <w:pPr>
        <w:numPr>
          <w:ilvl w:val="0"/>
          <w:numId w:val="3"/>
        </w:numPr>
        <w:spacing w:after="0" w:line="240" w:lineRule="auto"/>
        <w:ind w:left="387"/>
        <w:rPr>
          <w:rFonts w:ascii="Arial" w:eastAsia="Times New Roman" w:hAnsi="Arial" w:cs="Arial"/>
          <w:color w:val="2A2A2A"/>
          <w:sz w:val="24"/>
          <w:szCs w:val="24"/>
        </w:rPr>
      </w:pPr>
      <w:r w:rsidRPr="008C4218">
        <w:rPr>
          <w:rFonts w:ascii="Arial" w:eastAsia="Times New Roman" w:hAnsi="Arial" w:cs="Arial"/>
          <w:color w:val="2A2A2A"/>
          <w:sz w:val="24"/>
          <w:szCs w:val="24"/>
        </w:rPr>
        <w:t xml:space="preserve">In severe cases, hemodynamic instability (10%) and </w:t>
      </w:r>
      <w:proofErr w:type="spellStart"/>
      <w:r w:rsidRPr="008C4218">
        <w:rPr>
          <w:rFonts w:ascii="Arial" w:eastAsia="Times New Roman" w:hAnsi="Arial" w:cs="Arial"/>
          <w:color w:val="2A2A2A"/>
          <w:sz w:val="24"/>
          <w:szCs w:val="24"/>
        </w:rPr>
        <w:t>hematemesis</w:t>
      </w:r>
      <w:proofErr w:type="spellEnd"/>
      <w:r w:rsidRPr="008C4218">
        <w:rPr>
          <w:rFonts w:ascii="Arial" w:eastAsia="Times New Roman" w:hAnsi="Arial" w:cs="Arial"/>
          <w:color w:val="2A2A2A"/>
          <w:sz w:val="24"/>
          <w:szCs w:val="24"/>
        </w:rPr>
        <w:t xml:space="preserve"> or </w:t>
      </w:r>
      <w:proofErr w:type="spellStart"/>
      <w:r w:rsidRPr="008C4218">
        <w:rPr>
          <w:rFonts w:ascii="Arial" w:eastAsia="Times New Roman" w:hAnsi="Arial" w:cs="Arial"/>
          <w:color w:val="2A2A2A"/>
          <w:sz w:val="24"/>
          <w:szCs w:val="24"/>
        </w:rPr>
        <w:t>melena</w:t>
      </w:r>
      <w:proofErr w:type="spellEnd"/>
      <w:r w:rsidRPr="008C4218">
        <w:rPr>
          <w:rFonts w:ascii="Arial" w:eastAsia="Times New Roman" w:hAnsi="Arial" w:cs="Arial"/>
          <w:color w:val="2A2A2A"/>
          <w:sz w:val="24"/>
          <w:szCs w:val="24"/>
        </w:rPr>
        <w:t xml:space="preserve"> (5%); pale, diaphoretic, and listless appearance</w:t>
      </w:r>
    </w:p>
    <w:p w:rsidR="00CB0888" w:rsidRPr="00CB0888" w:rsidRDefault="008C4218" w:rsidP="00CB0888">
      <w:pPr>
        <w:pStyle w:val="NormalWeb"/>
        <w:spacing w:before="0" w:beforeAutospacing="0" w:after="0" w:afterAutospacing="0"/>
        <w:rPr>
          <w:rFonts w:ascii="Arial" w:hAnsi="Arial" w:cs="Arial"/>
          <w:color w:val="2A2A2A"/>
        </w:rPr>
      </w:pPr>
      <w:r w:rsidRPr="008C4218">
        <w:rPr>
          <w:rFonts w:ascii="Arial" w:hAnsi="Arial" w:cs="Arial"/>
          <w:color w:val="2A2A2A"/>
        </w:rPr>
        <w:t xml:space="preserve">Occasionally, extremity muscular spasms secondary to </w:t>
      </w:r>
      <w:proofErr w:type="spellStart"/>
      <w:r w:rsidRPr="008C4218">
        <w:rPr>
          <w:rFonts w:ascii="Arial" w:hAnsi="Arial" w:cs="Arial"/>
          <w:color w:val="2A2A2A"/>
        </w:rPr>
        <w:t>hypocalcemia</w:t>
      </w:r>
      <w:r w:rsidR="00CB0888" w:rsidRPr="00CB0888">
        <w:rPr>
          <w:rFonts w:ascii="Arial" w:hAnsi="Arial" w:cs="Arial"/>
          <w:color w:val="2A2A2A"/>
        </w:rPr>
        <w:t>The</w:t>
      </w:r>
      <w:proofErr w:type="spellEnd"/>
      <w:r w:rsidR="00CB0888" w:rsidRPr="00CB0888">
        <w:rPr>
          <w:rFonts w:ascii="Arial" w:hAnsi="Arial" w:cs="Arial"/>
          <w:color w:val="2A2A2A"/>
        </w:rPr>
        <w:t xml:space="preserve"> following uncommon physical findings are associated with severe necrotizing pancreatitis:</w:t>
      </w:r>
    </w:p>
    <w:p w:rsidR="00CB0888" w:rsidRPr="00CB0888" w:rsidRDefault="00CB0888" w:rsidP="00CB0888">
      <w:pPr>
        <w:numPr>
          <w:ilvl w:val="0"/>
          <w:numId w:val="4"/>
        </w:numPr>
        <w:spacing w:after="0" w:line="240" w:lineRule="auto"/>
        <w:ind w:left="387"/>
        <w:rPr>
          <w:rFonts w:ascii="Arial" w:eastAsia="Times New Roman" w:hAnsi="Arial" w:cs="Arial"/>
          <w:color w:val="2A2A2A"/>
          <w:sz w:val="24"/>
          <w:szCs w:val="24"/>
        </w:rPr>
      </w:pPr>
      <w:r w:rsidRPr="00CB0888">
        <w:rPr>
          <w:rFonts w:ascii="Arial" w:eastAsia="Times New Roman" w:hAnsi="Arial" w:cs="Arial"/>
          <w:color w:val="2A2A2A"/>
          <w:sz w:val="24"/>
          <w:szCs w:val="24"/>
        </w:rPr>
        <w:t xml:space="preserve">Cullen sign (bluish discoloration around the umbilicus resulting from </w:t>
      </w:r>
      <w:proofErr w:type="spellStart"/>
      <w:r w:rsidRPr="00CB0888">
        <w:rPr>
          <w:rFonts w:ascii="Arial" w:eastAsia="Times New Roman" w:hAnsi="Arial" w:cs="Arial"/>
          <w:color w:val="2A2A2A"/>
          <w:sz w:val="24"/>
          <w:szCs w:val="24"/>
        </w:rPr>
        <w:t>hemoperitoneum</w:t>
      </w:r>
      <w:proofErr w:type="spellEnd"/>
      <w:r w:rsidRPr="00CB0888">
        <w:rPr>
          <w:rFonts w:ascii="Arial" w:eastAsia="Times New Roman" w:hAnsi="Arial" w:cs="Arial"/>
          <w:color w:val="2A2A2A"/>
          <w:sz w:val="24"/>
          <w:szCs w:val="24"/>
        </w:rPr>
        <w:t>)</w:t>
      </w:r>
    </w:p>
    <w:p w:rsidR="00CB0888" w:rsidRPr="00CB0888" w:rsidRDefault="00CB0888" w:rsidP="00CB0888">
      <w:pPr>
        <w:numPr>
          <w:ilvl w:val="0"/>
          <w:numId w:val="4"/>
        </w:numPr>
        <w:spacing w:after="0" w:line="240" w:lineRule="auto"/>
        <w:ind w:left="387"/>
        <w:rPr>
          <w:rFonts w:ascii="Arial" w:eastAsia="Times New Roman" w:hAnsi="Arial" w:cs="Arial"/>
          <w:color w:val="2A2A2A"/>
          <w:sz w:val="24"/>
          <w:szCs w:val="24"/>
        </w:rPr>
      </w:pPr>
      <w:r w:rsidRPr="00CB0888">
        <w:rPr>
          <w:rFonts w:ascii="Arial" w:eastAsia="Times New Roman" w:hAnsi="Arial" w:cs="Arial"/>
          <w:color w:val="2A2A2A"/>
          <w:sz w:val="24"/>
          <w:szCs w:val="24"/>
        </w:rPr>
        <w:t xml:space="preserve">Grey-Turner sign (reddish-brown discoloration along the flanks resulting from retroperitoneal blood dissecting along tissue planes); more commonly, patients may have a ruddy </w:t>
      </w:r>
      <w:proofErr w:type="spellStart"/>
      <w:r w:rsidRPr="00CB0888">
        <w:rPr>
          <w:rFonts w:ascii="Arial" w:eastAsia="Times New Roman" w:hAnsi="Arial" w:cs="Arial"/>
          <w:color w:val="2A2A2A"/>
          <w:sz w:val="24"/>
          <w:szCs w:val="24"/>
        </w:rPr>
        <w:t>erythema</w:t>
      </w:r>
      <w:proofErr w:type="spellEnd"/>
      <w:r w:rsidRPr="00CB0888">
        <w:rPr>
          <w:rFonts w:ascii="Arial" w:eastAsia="Times New Roman" w:hAnsi="Arial" w:cs="Arial"/>
          <w:color w:val="2A2A2A"/>
          <w:sz w:val="24"/>
          <w:szCs w:val="24"/>
        </w:rPr>
        <w:t xml:space="preserve"> in the flanks secondary to </w:t>
      </w:r>
      <w:proofErr w:type="spellStart"/>
      <w:r w:rsidRPr="00CB0888">
        <w:rPr>
          <w:rFonts w:ascii="Arial" w:eastAsia="Times New Roman" w:hAnsi="Arial" w:cs="Arial"/>
          <w:color w:val="2A2A2A"/>
          <w:sz w:val="24"/>
          <w:szCs w:val="24"/>
        </w:rPr>
        <w:t>extravasated</w:t>
      </w:r>
      <w:proofErr w:type="spellEnd"/>
      <w:r w:rsidRPr="00CB0888">
        <w:rPr>
          <w:rFonts w:ascii="Arial" w:eastAsia="Times New Roman" w:hAnsi="Arial" w:cs="Arial"/>
          <w:color w:val="2A2A2A"/>
          <w:sz w:val="24"/>
          <w:szCs w:val="24"/>
        </w:rPr>
        <w:t xml:space="preserve"> pancreatic </w:t>
      </w:r>
      <w:proofErr w:type="spellStart"/>
      <w:r w:rsidRPr="00CB0888">
        <w:rPr>
          <w:rFonts w:ascii="Arial" w:eastAsia="Times New Roman" w:hAnsi="Arial" w:cs="Arial"/>
          <w:color w:val="2A2A2A"/>
          <w:sz w:val="24"/>
          <w:szCs w:val="24"/>
        </w:rPr>
        <w:t>exudate</w:t>
      </w:r>
      <w:proofErr w:type="spellEnd"/>
    </w:p>
    <w:p w:rsidR="0092288C" w:rsidRDefault="00CB0888" w:rsidP="0092288C">
      <w:pPr>
        <w:pStyle w:val="Heading2"/>
        <w:spacing w:before="0"/>
        <w:rPr>
          <w:rFonts w:ascii="Arial" w:hAnsi="Arial" w:cs="Arial"/>
          <w:b w:val="0"/>
          <w:bCs w:val="0"/>
          <w:color w:val="2A2A2A"/>
        </w:rPr>
      </w:pPr>
      <w:proofErr w:type="spellStart"/>
      <w:r w:rsidRPr="00CB0888">
        <w:rPr>
          <w:rFonts w:ascii="Arial" w:eastAsia="Times New Roman" w:hAnsi="Arial" w:cs="Arial"/>
          <w:color w:val="2A2A2A"/>
          <w:sz w:val="24"/>
          <w:szCs w:val="24"/>
        </w:rPr>
        <w:t>Erythematous</w:t>
      </w:r>
      <w:proofErr w:type="spellEnd"/>
      <w:r w:rsidRPr="00CB0888">
        <w:rPr>
          <w:rFonts w:ascii="Arial" w:eastAsia="Times New Roman" w:hAnsi="Arial" w:cs="Arial"/>
          <w:color w:val="2A2A2A"/>
          <w:sz w:val="24"/>
          <w:szCs w:val="24"/>
        </w:rPr>
        <w:t xml:space="preserve"> skin nodules, usually no larger than 1 cm and typically located on extensor skin surfaces; </w:t>
      </w:r>
      <w:proofErr w:type="spellStart"/>
      <w:r w:rsidRPr="00CB0888">
        <w:rPr>
          <w:rFonts w:ascii="Arial" w:eastAsia="Times New Roman" w:hAnsi="Arial" w:cs="Arial"/>
          <w:color w:val="2A2A2A"/>
          <w:sz w:val="24"/>
          <w:szCs w:val="24"/>
        </w:rPr>
        <w:t>polyarthritis</w:t>
      </w:r>
      <w:r w:rsidR="0092288C">
        <w:rPr>
          <w:rFonts w:ascii="Arial" w:hAnsi="Arial" w:cs="Arial"/>
          <w:b w:val="0"/>
          <w:bCs w:val="0"/>
          <w:color w:val="2A2A2A"/>
        </w:rPr>
        <w:t>History</w:t>
      </w:r>
      <w:proofErr w:type="spellEnd"/>
    </w:p>
    <w:p w:rsidR="0092288C" w:rsidRDefault="0092288C" w:rsidP="0092288C">
      <w:pPr>
        <w:pStyle w:val="NormalWeb"/>
        <w:spacing w:before="0" w:beforeAutospacing="0" w:after="0" w:afterAutospacing="0"/>
        <w:rPr>
          <w:rFonts w:ascii="Arial" w:hAnsi="Arial" w:cs="Arial"/>
          <w:color w:val="2A2A2A"/>
          <w:sz w:val="27"/>
          <w:szCs w:val="27"/>
        </w:rPr>
      </w:pPr>
      <w:r>
        <w:rPr>
          <w:rFonts w:ascii="Arial" w:hAnsi="Arial" w:cs="Arial"/>
          <w:color w:val="2A2A2A"/>
          <w:sz w:val="27"/>
          <w:szCs w:val="27"/>
        </w:rPr>
        <w:t xml:space="preserve">The cardinal symptom of acute pancreatitis is abdominal pain, which is characteristically dull, boring, and steady. Usually, the pain is sudden in onset and gradually intensifies in severity until reaching a constant ache. Most often, it is located in the upper abdomen, usually in the epigastric region, but it may be perceived more on the left or right side, depending on which portion of the </w:t>
      </w:r>
      <w:r>
        <w:rPr>
          <w:rFonts w:ascii="Arial" w:hAnsi="Arial" w:cs="Arial"/>
          <w:color w:val="2A2A2A"/>
          <w:sz w:val="27"/>
          <w:szCs w:val="27"/>
        </w:rPr>
        <w:lastRenderedPageBreak/>
        <w:t>pancreas is involved. The pain radiates directly through the abdomen to the back in approximately one half of cases.</w:t>
      </w:r>
    </w:p>
    <w:p w:rsidR="0092288C" w:rsidRDefault="0092288C" w:rsidP="0092288C">
      <w:pPr>
        <w:pStyle w:val="NormalWeb"/>
        <w:spacing w:before="0" w:beforeAutospacing="0" w:after="0" w:afterAutospacing="0"/>
        <w:rPr>
          <w:rFonts w:ascii="Arial" w:hAnsi="Arial" w:cs="Arial"/>
          <w:color w:val="2A2A2A"/>
          <w:sz w:val="27"/>
          <w:szCs w:val="27"/>
        </w:rPr>
      </w:pPr>
      <w:r>
        <w:rPr>
          <w:rFonts w:ascii="Arial" w:hAnsi="Arial" w:cs="Arial"/>
          <w:color w:val="2A2A2A"/>
          <w:sz w:val="27"/>
          <w:szCs w:val="27"/>
        </w:rPr>
        <w:t>Nausea and vomiting are often present, along with accompanying anorexia. Diarrhea can also occur. Positioning can be important, because the discomfort frequently improves with the patient sitting up and bending forward. However, this improvement is usually temporary. The duration of pain varies but typically lasts more than a day. It is the intensity and persistence of the pain that usually causes patients to seek medical attention.</w:t>
      </w:r>
    </w:p>
    <w:p w:rsidR="0092288C" w:rsidRDefault="0092288C" w:rsidP="0092288C">
      <w:pPr>
        <w:pStyle w:val="NormalWeb"/>
        <w:spacing w:before="0" w:beforeAutospacing="0" w:after="0" w:afterAutospacing="0"/>
        <w:rPr>
          <w:rFonts w:ascii="Arial" w:hAnsi="Arial" w:cs="Arial"/>
          <w:color w:val="2A2A2A"/>
          <w:sz w:val="27"/>
          <w:szCs w:val="27"/>
        </w:rPr>
      </w:pPr>
      <w:r>
        <w:rPr>
          <w:rFonts w:ascii="Arial" w:hAnsi="Arial" w:cs="Arial"/>
          <w:color w:val="2A2A2A"/>
          <w:sz w:val="27"/>
          <w:szCs w:val="27"/>
        </w:rPr>
        <w:t xml:space="preserve">Ask the patient about recent operative or other invasive procedures (eg, endoscopic retrograde cholangiopancreatography [ERCP]) or family history of </w:t>
      </w:r>
      <w:proofErr w:type="spellStart"/>
      <w:r>
        <w:rPr>
          <w:rFonts w:ascii="Arial" w:hAnsi="Arial" w:cs="Arial"/>
          <w:color w:val="2A2A2A"/>
          <w:sz w:val="27"/>
          <w:szCs w:val="27"/>
        </w:rPr>
        <w:t>hypertriglyceridemia</w:t>
      </w:r>
      <w:proofErr w:type="spellEnd"/>
      <w:r>
        <w:rPr>
          <w:rFonts w:ascii="Arial" w:hAnsi="Arial" w:cs="Arial"/>
          <w:color w:val="2A2A2A"/>
          <w:sz w:val="27"/>
          <w:szCs w:val="27"/>
        </w:rPr>
        <w:t>. Patients frequently have a history of previous biliary colic and binge alcohol consumption, the major causes of acute pancreatitis.</w:t>
      </w:r>
    </w:p>
    <w:p w:rsidR="00CB0888" w:rsidRDefault="00CB0888" w:rsidP="000C060E">
      <w:pPr>
        <w:spacing w:after="0" w:line="240" w:lineRule="auto"/>
        <w:ind w:left="387"/>
        <w:rPr>
          <w:rFonts w:ascii="Arial" w:eastAsia="Times New Roman" w:hAnsi="Arial" w:cs="Arial"/>
          <w:color w:val="2A2A2A"/>
          <w:sz w:val="24"/>
          <w:szCs w:val="24"/>
        </w:rPr>
      </w:pPr>
    </w:p>
    <w:p w:rsidR="000C060E" w:rsidRDefault="000C060E" w:rsidP="000C060E">
      <w:pPr>
        <w:pStyle w:val="Heading2"/>
        <w:spacing w:before="0"/>
        <w:rPr>
          <w:rFonts w:ascii="Arial" w:hAnsi="Arial" w:cs="Arial"/>
          <w:b w:val="0"/>
          <w:bCs w:val="0"/>
          <w:color w:val="2A2A2A"/>
        </w:rPr>
      </w:pPr>
      <w:r>
        <w:rPr>
          <w:rFonts w:ascii="Arial" w:hAnsi="Arial" w:cs="Arial"/>
          <w:b w:val="0"/>
          <w:bCs w:val="0"/>
          <w:color w:val="2A2A2A"/>
        </w:rPr>
        <w:t>Physical Examination</w:t>
      </w:r>
    </w:p>
    <w:p w:rsidR="000C060E" w:rsidRDefault="000C060E" w:rsidP="000C060E">
      <w:pPr>
        <w:pStyle w:val="NormalWeb"/>
        <w:spacing w:before="0" w:beforeAutospacing="0" w:after="0" w:afterAutospacing="0"/>
        <w:rPr>
          <w:rFonts w:ascii="Arial" w:hAnsi="Arial" w:cs="Arial"/>
          <w:color w:val="2A2A2A"/>
          <w:sz w:val="27"/>
          <w:szCs w:val="27"/>
        </w:rPr>
      </w:pPr>
      <w:r>
        <w:rPr>
          <w:rFonts w:ascii="Arial" w:hAnsi="Arial" w:cs="Arial"/>
          <w:color w:val="2A2A2A"/>
          <w:sz w:val="27"/>
          <w:szCs w:val="27"/>
        </w:rPr>
        <w:t>The following physical examination findings may be noted, varying with the severity of the disease:</w:t>
      </w:r>
    </w:p>
    <w:p w:rsidR="000C060E" w:rsidRDefault="000C060E" w:rsidP="000C060E">
      <w:pPr>
        <w:numPr>
          <w:ilvl w:val="0"/>
          <w:numId w:val="5"/>
        </w:numPr>
        <w:spacing w:after="0" w:line="240" w:lineRule="auto"/>
        <w:ind w:left="387"/>
        <w:rPr>
          <w:rFonts w:ascii="Arial" w:hAnsi="Arial" w:cs="Arial"/>
          <w:color w:val="2A2A2A"/>
          <w:sz w:val="27"/>
          <w:szCs w:val="27"/>
        </w:rPr>
      </w:pPr>
      <w:r>
        <w:rPr>
          <w:rFonts w:ascii="Arial" w:hAnsi="Arial" w:cs="Arial"/>
          <w:color w:val="2A2A2A"/>
          <w:sz w:val="27"/>
          <w:szCs w:val="27"/>
        </w:rPr>
        <w:t>Fever (76%) and tachycardia (65%) are common abnormal vital signs; hypotension may be noted</w:t>
      </w:r>
    </w:p>
    <w:p w:rsidR="000C060E" w:rsidRDefault="000C060E" w:rsidP="000C060E">
      <w:pPr>
        <w:numPr>
          <w:ilvl w:val="0"/>
          <w:numId w:val="5"/>
        </w:numPr>
        <w:spacing w:after="0" w:line="240" w:lineRule="auto"/>
        <w:ind w:left="387"/>
        <w:rPr>
          <w:rFonts w:ascii="Arial" w:hAnsi="Arial" w:cs="Arial"/>
          <w:color w:val="2A2A2A"/>
          <w:sz w:val="27"/>
          <w:szCs w:val="27"/>
        </w:rPr>
      </w:pPr>
      <w:r>
        <w:rPr>
          <w:rFonts w:ascii="Arial" w:hAnsi="Arial" w:cs="Arial"/>
          <w:color w:val="2A2A2A"/>
          <w:sz w:val="27"/>
          <w:szCs w:val="27"/>
        </w:rPr>
        <w:t>Abdominal tenderness, muscular guarding (68%), and distention (65%) are observed in most patients; bowel sounds are often diminished or absent because of gastric and transverse colonic ileus; guarding tends to be more pronounced in the upper abdomen</w:t>
      </w:r>
    </w:p>
    <w:p w:rsidR="000C060E" w:rsidRDefault="000C060E" w:rsidP="000C060E">
      <w:pPr>
        <w:numPr>
          <w:ilvl w:val="0"/>
          <w:numId w:val="5"/>
        </w:numPr>
        <w:spacing w:after="0" w:line="240" w:lineRule="auto"/>
        <w:ind w:left="387"/>
        <w:rPr>
          <w:rFonts w:ascii="Arial" w:hAnsi="Arial" w:cs="Arial"/>
          <w:color w:val="2A2A2A"/>
          <w:sz w:val="27"/>
          <w:szCs w:val="27"/>
        </w:rPr>
      </w:pPr>
      <w:r>
        <w:rPr>
          <w:rFonts w:ascii="Arial" w:hAnsi="Arial" w:cs="Arial"/>
          <w:color w:val="2A2A2A"/>
          <w:sz w:val="27"/>
          <w:szCs w:val="27"/>
        </w:rPr>
        <w:t xml:space="preserve">A minority of </w:t>
      </w:r>
      <w:proofErr w:type="gramStart"/>
      <w:r>
        <w:rPr>
          <w:rFonts w:ascii="Arial" w:hAnsi="Arial" w:cs="Arial"/>
          <w:color w:val="2A2A2A"/>
          <w:sz w:val="27"/>
          <w:szCs w:val="27"/>
        </w:rPr>
        <w:t>patients</w:t>
      </w:r>
      <w:proofErr w:type="gramEnd"/>
      <w:r>
        <w:rPr>
          <w:rFonts w:ascii="Arial" w:hAnsi="Arial" w:cs="Arial"/>
          <w:color w:val="2A2A2A"/>
          <w:sz w:val="27"/>
          <w:szCs w:val="27"/>
        </w:rPr>
        <w:t xml:space="preserve"> exhibit jaundice (28%)</w:t>
      </w:r>
    </w:p>
    <w:p w:rsidR="000C060E" w:rsidRDefault="000C060E" w:rsidP="000C060E">
      <w:pPr>
        <w:numPr>
          <w:ilvl w:val="0"/>
          <w:numId w:val="5"/>
        </w:numPr>
        <w:spacing w:after="0" w:line="240" w:lineRule="auto"/>
        <w:ind w:left="387"/>
        <w:rPr>
          <w:rFonts w:ascii="Arial" w:hAnsi="Arial" w:cs="Arial"/>
          <w:color w:val="2A2A2A"/>
          <w:sz w:val="27"/>
          <w:szCs w:val="27"/>
        </w:rPr>
      </w:pPr>
      <w:r>
        <w:rPr>
          <w:rFonts w:ascii="Arial" w:hAnsi="Arial" w:cs="Arial"/>
          <w:color w:val="2A2A2A"/>
          <w:sz w:val="27"/>
          <w:szCs w:val="27"/>
        </w:rPr>
        <w:t xml:space="preserve">Some patients experience </w:t>
      </w:r>
      <w:proofErr w:type="spellStart"/>
      <w:r>
        <w:rPr>
          <w:rFonts w:ascii="Arial" w:hAnsi="Arial" w:cs="Arial"/>
          <w:color w:val="2A2A2A"/>
          <w:sz w:val="27"/>
          <w:szCs w:val="27"/>
        </w:rPr>
        <w:t>dyspnea</w:t>
      </w:r>
      <w:proofErr w:type="spellEnd"/>
      <w:r>
        <w:rPr>
          <w:rFonts w:ascii="Arial" w:hAnsi="Arial" w:cs="Arial"/>
          <w:color w:val="2A2A2A"/>
          <w:sz w:val="27"/>
          <w:szCs w:val="27"/>
        </w:rPr>
        <w:t xml:space="preserve"> (10%), which may be caused by irritation of the diaphragm (resulting from inflammation), pleural effusion, or a more serious condition, such as acute respiratory distress syndrome (ARDS); </w:t>
      </w:r>
      <w:proofErr w:type="spellStart"/>
      <w:r>
        <w:rPr>
          <w:rFonts w:ascii="Arial" w:hAnsi="Arial" w:cs="Arial"/>
          <w:color w:val="2A2A2A"/>
          <w:sz w:val="27"/>
          <w:szCs w:val="27"/>
        </w:rPr>
        <w:t>tachypnea</w:t>
      </w:r>
      <w:proofErr w:type="spellEnd"/>
      <w:r>
        <w:rPr>
          <w:rFonts w:ascii="Arial" w:hAnsi="Arial" w:cs="Arial"/>
          <w:color w:val="2A2A2A"/>
          <w:sz w:val="27"/>
          <w:szCs w:val="27"/>
        </w:rPr>
        <w:t xml:space="preserve"> may occur; lung auscultation may reveal basilar </w:t>
      </w:r>
      <w:proofErr w:type="spellStart"/>
      <w:r>
        <w:rPr>
          <w:rFonts w:ascii="Arial" w:hAnsi="Arial" w:cs="Arial"/>
          <w:color w:val="2A2A2A"/>
          <w:sz w:val="27"/>
          <w:szCs w:val="27"/>
        </w:rPr>
        <w:t>rales</w:t>
      </w:r>
      <w:proofErr w:type="spellEnd"/>
      <w:r>
        <w:rPr>
          <w:rFonts w:ascii="Arial" w:hAnsi="Arial" w:cs="Arial"/>
          <w:color w:val="2A2A2A"/>
          <w:sz w:val="27"/>
          <w:szCs w:val="27"/>
        </w:rPr>
        <w:t>, especially in the left lung</w:t>
      </w:r>
    </w:p>
    <w:p w:rsidR="000C060E" w:rsidRDefault="000C060E" w:rsidP="000C060E">
      <w:pPr>
        <w:numPr>
          <w:ilvl w:val="0"/>
          <w:numId w:val="5"/>
        </w:numPr>
        <w:spacing w:after="0" w:line="240" w:lineRule="auto"/>
        <w:ind w:left="387"/>
        <w:rPr>
          <w:rFonts w:ascii="Arial" w:hAnsi="Arial" w:cs="Arial"/>
          <w:color w:val="2A2A2A"/>
          <w:sz w:val="27"/>
          <w:szCs w:val="27"/>
        </w:rPr>
      </w:pPr>
      <w:r>
        <w:rPr>
          <w:rFonts w:ascii="Arial" w:hAnsi="Arial" w:cs="Arial"/>
          <w:color w:val="2A2A2A"/>
          <w:sz w:val="27"/>
          <w:szCs w:val="27"/>
        </w:rPr>
        <w:t xml:space="preserve">In severe cases, hemodynamic instability is evident (10%) and </w:t>
      </w:r>
      <w:proofErr w:type="spellStart"/>
      <w:r>
        <w:rPr>
          <w:rFonts w:ascii="Arial" w:hAnsi="Arial" w:cs="Arial"/>
          <w:color w:val="2A2A2A"/>
          <w:sz w:val="27"/>
          <w:szCs w:val="27"/>
        </w:rPr>
        <w:t>hematemesis</w:t>
      </w:r>
      <w:proofErr w:type="spellEnd"/>
      <w:r>
        <w:rPr>
          <w:rFonts w:ascii="Arial" w:hAnsi="Arial" w:cs="Arial"/>
          <w:color w:val="2A2A2A"/>
          <w:sz w:val="27"/>
          <w:szCs w:val="27"/>
        </w:rPr>
        <w:t xml:space="preserve"> or </w:t>
      </w:r>
      <w:proofErr w:type="spellStart"/>
      <w:r>
        <w:rPr>
          <w:rFonts w:ascii="Arial" w:hAnsi="Arial" w:cs="Arial"/>
          <w:color w:val="2A2A2A"/>
          <w:sz w:val="27"/>
          <w:szCs w:val="27"/>
        </w:rPr>
        <w:t>melena</w:t>
      </w:r>
      <w:proofErr w:type="spellEnd"/>
      <w:r>
        <w:rPr>
          <w:rFonts w:ascii="Arial" w:hAnsi="Arial" w:cs="Arial"/>
          <w:color w:val="2A2A2A"/>
          <w:sz w:val="27"/>
          <w:szCs w:val="27"/>
        </w:rPr>
        <w:t xml:space="preserve"> sometimes develops (5%); in addition, patients with severe acute pancreatitis are often pale, diaphoretic, and listless</w:t>
      </w:r>
    </w:p>
    <w:p w:rsidR="000C060E" w:rsidRDefault="000C060E" w:rsidP="000C060E">
      <w:pPr>
        <w:numPr>
          <w:ilvl w:val="0"/>
          <w:numId w:val="5"/>
        </w:numPr>
        <w:spacing w:after="0" w:line="240" w:lineRule="auto"/>
        <w:ind w:left="387"/>
        <w:rPr>
          <w:rFonts w:ascii="Arial" w:hAnsi="Arial" w:cs="Arial"/>
          <w:color w:val="2A2A2A"/>
          <w:sz w:val="27"/>
          <w:szCs w:val="27"/>
        </w:rPr>
      </w:pPr>
      <w:r>
        <w:rPr>
          <w:rFonts w:ascii="Arial" w:hAnsi="Arial" w:cs="Arial"/>
          <w:color w:val="2A2A2A"/>
          <w:sz w:val="27"/>
          <w:szCs w:val="27"/>
        </w:rPr>
        <w:t xml:space="preserve">Occasionally, in the extremities, muscular spasm may be noted secondary to </w:t>
      </w:r>
      <w:proofErr w:type="spellStart"/>
      <w:r>
        <w:rPr>
          <w:rFonts w:ascii="Arial" w:hAnsi="Arial" w:cs="Arial"/>
          <w:color w:val="2A2A2A"/>
          <w:sz w:val="27"/>
          <w:szCs w:val="27"/>
        </w:rPr>
        <w:t>hypocalcemia</w:t>
      </w:r>
      <w:proofErr w:type="spellEnd"/>
    </w:p>
    <w:p w:rsidR="000C060E" w:rsidRDefault="000C060E" w:rsidP="000C060E">
      <w:pPr>
        <w:pStyle w:val="NormalWeb"/>
        <w:spacing w:before="0" w:beforeAutospacing="0" w:after="0" w:afterAutospacing="0"/>
        <w:rPr>
          <w:rFonts w:ascii="Arial" w:hAnsi="Arial" w:cs="Arial"/>
          <w:color w:val="2A2A2A"/>
          <w:sz w:val="27"/>
          <w:szCs w:val="27"/>
        </w:rPr>
      </w:pPr>
      <w:r>
        <w:rPr>
          <w:rFonts w:ascii="Arial" w:hAnsi="Arial" w:cs="Arial"/>
          <w:color w:val="2A2A2A"/>
          <w:sz w:val="27"/>
          <w:szCs w:val="27"/>
        </w:rPr>
        <w:t>A few uncommon physical findings are associated with severe necrotizing pancreatitis:</w:t>
      </w:r>
    </w:p>
    <w:p w:rsidR="000C060E" w:rsidRDefault="000C060E" w:rsidP="000C060E">
      <w:pPr>
        <w:numPr>
          <w:ilvl w:val="0"/>
          <w:numId w:val="6"/>
        </w:numPr>
        <w:spacing w:after="0" w:line="240" w:lineRule="auto"/>
        <w:ind w:left="387"/>
        <w:rPr>
          <w:rFonts w:ascii="Arial" w:hAnsi="Arial" w:cs="Arial"/>
          <w:color w:val="2A2A2A"/>
          <w:sz w:val="27"/>
          <w:szCs w:val="27"/>
        </w:rPr>
      </w:pPr>
      <w:r>
        <w:rPr>
          <w:rFonts w:ascii="Arial" w:hAnsi="Arial" w:cs="Arial"/>
          <w:color w:val="2A2A2A"/>
          <w:sz w:val="27"/>
          <w:szCs w:val="27"/>
        </w:rPr>
        <w:t xml:space="preserve">The Cullen sign is a bluish discoloration around the umbilicus resulting from </w:t>
      </w:r>
      <w:proofErr w:type="spellStart"/>
      <w:r>
        <w:rPr>
          <w:rFonts w:ascii="Arial" w:hAnsi="Arial" w:cs="Arial"/>
          <w:color w:val="2A2A2A"/>
          <w:sz w:val="27"/>
          <w:szCs w:val="27"/>
        </w:rPr>
        <w:t>hemoperitoneum</w:t>
      </w:r>
      <w:proofErr w:type="spellEnd"/>
    </w:p>
    <w:p w:rsidR="000C060E" w:rsidRDefault="000C060E" w:rsidP="000C060E">
      <w:pPr>
        <w:numPr>
          <w:ilvl w:val="0"/>
          <w:numId w:val="6"/>
        </w:numPr>
        <w:spacing w:after="0" w:line="240" w:lineRule="auto"/>
        <w:ind w:left="387"/>
        <w:rPr>
          <w:rFonts w:ascii="Arial" w:hAnsi="Arial" w:cs="Arial"/>
          <w:color w:val="2A2A2A"/>
          <w:sz w:val="27"/>
          <w:szCs w:val="27"/>
        </w:rPr>
      </w:pPr>
      <w:r>
        <w:rPr>
          <w:rFonts w:ascii="Arial" w:hAnsi="Arial" w:cs="Arial"/>
          <w:color w:val="2A2A2A"/>
          <w:sz w:val="27"/>
          <w:szCs w:val="27"/>
        </w:rPr>
        <w:t xml:space="preserve">The Grey-Turner sign is a reddish-brown discoloration along the flanks resulting from retroperitoneal blood dissecting along tissue planes; more commonly, patients may have a ruddy </w:t>
      </w:r>
      <w:proofErr w:type="spellStart"/>
      <w:r>
        <w:rPr>
          <w:rFonts w:ascii="Arial" w:hAnsi="Arial" w:cs="Arial"/>
          <w:color w:val="2A2A2A"/>
          <w:sz w:val="27"/>
          <w:szCs w:val="27"/>
        </w:rPr>
        <w:t>erythema</w:t>
      </w:r>
      <w:proofErr w:type="spellEnd"/>
      <w:r>
        <w:rPr>
          <w:rFonts w:ascii="Arial" w:hAnsi="Arial" w:cs="Arial"/>
          <w:color w:val="2A2A2A"/>
          <w:sz w:val="27"/>
          <w:szCs w:val="27"/>
        </w:rPr>
        <w:t xml:space="preserve"> in the flanks secondary to </w:t>
      </w:r>
      <w:proofErr w:type="spellStart"/>
      <w:r>
        <w:rPr>
          <w:rFonts w:ascii="Arial" w:hAnsi="Arial" w:cs="Arial"/>
          <w:color w:val="2A2A2A"/>
          <w:sz w:val="27"/>
          <w:szCs w:val="27"/>
        </w:rPr>
        <w:t>extravasated</w:t>
      </w:r>
      <w:proofErr w:type="spellEnd"/>
      <w:r>
        <w:rPr>
          <w:rFonts w:ascii="Arial" w:hAnsi="Arial" w:cs="Arial"/>
          <w:color w:val="2A2A2A"/>
          <w:sz w:val="27"/>
          <w:szCs w:val="27"/>
        </w:rPr>
        <w:t xml:space="preserve"> pancreatic </w:t>
      </w:r>
      <w:proofErr w:type="spellStart"/>
      <w:r>
        <w:rPr>
          <w:rFonts w:ascii="Arial" w:hAnsi="Arial" w:cs="Arial"/>
          <w:color w:val="2A2A2A"/>
          <w:sz w:val="27"/>
          <w:szCs w:val="27"/>
        </w:rPr>
        <w:t>exudate</w:t>
      </w:r>
      <w:proofErr w:type="spellEnd"/>
    </w:p>
    <w:p w:rsidR="000C060E" w:rsidRDefault="000C060E" w:rsidP="000C060E">
      <w:pPr>
        <w:numPr>
          <w:ilvl w:val="0"/>
          <w:numId w:val="6"/>
        </w:numPr>
        <w:spacing w:after="0" w:line="240" w:lineRule="auto"/>
        <w:ind w:left="387"/>
        <w:rPr>
          <w:rFonts w:ascii="Arial" w:hAnsi="Arial" w:cs="Arial"/>
          <w:color w:val="2A2A2A"/>
          <w:sz w:val="27"/>
          <w:szCs w:val="27"/>
        </w:rPr>
      </w:pPr>
      <w:proofErr w:type="spellStart"/>
      <w:r>
        <w:rPr>
          <w:rFonts w:ascii="Arial" w:hAnsi="Arial" w:cs="Arial"/>
          <w:color w:val="2A2A2A"/>
          <w:sz w:val="27"/>
          <w:szCs w:val="27"/>
        </w:rPr>
        <w:t>Erythematous</w:t>
      </w:r>
      <w:proofErr w:type="spellEnd"/>
      <w:r>
        <w:rPr>
          <w:rFonts w:ascii="Arial" w:hAnsi="Arial" w:cs="Arial"/>
          <w:color w:val="2A2A2A"/>
          <w:sz w:val="27"/>
          <w:szCs w:val="27"/>
        </w:rPr>
        <w:t xml:space="preserve"> skin nodules may result from focal subcutaneous fat necrosis; these are usually not more than 1 cm in size and are typically located on extensor skin surfaces; in addition, </w:t>
      </w:r>
      <w:proofErr w:type="spellStart"/>
      <w:r>
        <w:rPr>
          <w:rFonts w:ascii="Arial" w:hAnsi="Arial" w:cs="Arial"/>
          <w:color w:val="2A2A2A"/>
          <w:sz w:val="27"/>
          <w:szCs w:val="27"/>
        </w:rPr>
        <w:t>polyarthritis</w:t>
      </w:r>
      <w:proofErr w:type="spellEnd"/>
      <w:r>
        <w:rPr>
          <w:rFonts w:ascii="Arial" w:hAnsi="Arial" w:cs="Arial"/>
          <w:color w:val="2A2A2A"/>
          <w:sz w:val="27"/>
          <w:szCs w:val="27"/>
        </w:rPr>
        <w:t xml:space="preserve"> is occasionally seen</w:t>
      </w:r>
    </w:p>
    <w:p w:rsidR="000C060E" w:rsidRDefault="000C060E" w:rsidP="000C060E">
      <w:pPr>
        <w:pStyle w:val="NormalWeb"/>
        <w:spacing w:before="0" w:beforeAutospacing="0" w:after="0" w:afterAutospacing="0"/>
        <w:rPr>
          <w:rFonts w:ascii="Arial" w:hAnsi="Arial" w:cs="Arial"/>
          <w:color w:val="2A2A2A"/>
          <w:sz w:val="27"/>
          <w:szCs w:val="27"/>
        </w:rPr>
      </w:pPr>
      <w:r>
        <w:rPr>
          <w:rFonts w:ascii="Arial" w:hAnsi="Arial" w:cs="Arial"/>
          <w:color w:val="2A2A2A"/>
          <w:sz w:val="27"/>
          <w:szCs w:val="27"/>
        </w:rPr>
        <w:t xml:space="preserve">Rarely, abnormalities on </w:t>
      </w:r>
      <w:proofErr w:type="spellStart"/>
      <w:r>
        <w:rPr>
          <w:rFonts w:ascii="Arial" w:hAnsi="Arial" w:cs="Arial"/>
          <w:color w:val="2A2A2A"/>
          <w:sz w:val="27"/>
          <w:szCs w:val="27"/>
        </w:rPr>
        <w:t>funduscopic</w:t>
      </w:r>
      <w:proofErr w:type="spellEnd"/>
      <w:r>
        <w:rPr>
          <w:rFonts w:ascii="Arial" w:hAnsi="Arial" w:cs="Arial"/>
          <w:color w:val="2A2A2A"/>
          <w:sz w:val="27"/>
          <w:szCs w:val="27"/>
        </w:rPr>
        <w:t xml:space="preserve"> examination may be seen in severe pancreatitis. Termed </w:t>
      </w:r>
      <w:proofErr w:type="spellStart"/>
      <w:r>
        <w:rPr>
          <w:rFonts w:ascii="Arial" w:hAnsi="Arial" w:cs="Arial"/>
          <w:color w:val="2A2A2A"/>
          <w:sz w:val="27"/>
          <w:szCs w:val="27"/>
        </w:rPr>
        <w:t>Purtscher</w:t>
      </w:r>
      <w:proofErr w:type="spellEnd"/>
      <w:r>
        <w:rPr>
          <w:rFonts w:ascii="Arial" w:hAnsi="Arial" w:cs="Arial"/>
          <w:color w:val="2A2A2A"/>
          <w:sz w:val="27"/>
          <w:szCs w:val="27"/>
        </w:rPr>
        <w:t xml:space="preserve"> retinopathy, this ischemic injury to the retina appears to be caused by activation of complement and agglutination of blood cells within the retinal vessels. It may cause temporary or permanent blindness.</w:t>
      </w:r>
    </w:p>
    <w:p w:rsidR="000C060E" w:rsidRDefault="000C060E" w:rsidP="000C060E">
      <w:pPr>
        <w:spacing w:after="0" w:line="240" w:lineRule="auto"/>
        <w:ind w:left="387"/>
        <w:rPr>
          <w:rFonts w:ascii="Arial" w:eastAsia="Times New Roman" w:hAnsi="Arial" w:cs="Arial"/>
          <w:color w:val="2A2A2A"/>
          <w:sz w:val="24"/>
          <w:szCs w:val="24"/>
        </w:rPr>
      </w:pPr>
    </w:p>
    <w:p w:rsidR="0092288C" w:rsidRDefault="0092288C" w:rsidP="0092288C">
      <w:pPr>
        <w:spacing w:after="0" w:line="240" w:lineRule="auto"/>
        <w:ind w:left="387"/>
        <w:rPr>
          <w:rFonts w:ascii="Arial" w:eastAsia="Times New Roman" w:hAnsi="Arial" w:cs="Arial"/>
          <w:color w:val="2A2A2A"/>
          <w:sz w:val="24"/>
          <w:szCs w:val="24"/>
        </w:rPr>
      </w:pPr>
    </w:p>
    <w:p w:rsidR="0092288C" w:rsidRPr="00CB0888" w:rsidRDefault="0092288C" w:rsidP="0092288C">
      <w:pPr>
        <w:spacing w:after="0" w:line="240" w:lineRule="auto"/>
        <w:ind w:left="387"/>
        <w:rPr>
          <w:rFonts w:ascii="Arial" w:eastAsia="Times New Roman" w:hAnsi="Arial" w:cs="Arial"/>
          <w:color w:val="2A2A2A"/>
          <w:sz w:val="24"/>
          <w:szCs w:val="24"/>
        </w:rPr>
      </w:pPr>
    </w:p>
    <w:p w:rsidR="00CB0888" w:rsidRPr="008C4218" w:rsidRDefault="00CB0888" w:rsidP="0092288C">
      <w:pPr>
        <w:spacing w:after="0" w:line="240" w:lineRule="auto"/>
        <w:ind w:left="387"/>
        <w:rPr>
          <w:rFonts w:ascii="Arial" w:eastAsia="Times New Roman" w:hAnsi="Arial" w:cs="Arial"/>
          <w:color w:val="2A2A2A"/>
          <w:sz w:val="24"/>
          <w:szCs w:val="24"/>
        </w:rPr>
      </w:pPr>
    </w:p>
    <w:p w:rsidR="00A2621B" w:rsidRDefault="00A2621B"/>
    <w:p w:rsidR="008C4218" w:rsidRDefault="008C4218"/>
    <w:sectPr w:rsidR="008C4218" w:rsidSect="00A26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40EB"/>
    <w:multiLevelType w:val="multilevel"/>
    <w:tmpl w:val="5BE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F33DB"/>
    <w:multiLevelType w:val="multilevel"/>
    <w:tmpl w:val="195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A1151"/>
    <w:multiLevelType w:val="multilevel"/>
    <w:tmpl w:val="13B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984060"/>
    <w:multiLevelType w:val="multilevel"/>
    <w:tmpl w:val="AF62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17E77"/>
    <w:multiLevelType w:val="multilevel"/>
    <w:tmpl w:val="E576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7D4904"/>
    <w:multiLevelType w:val="multilevel"/>
    <w:tmpl w:val="A4E4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savePreviewPicture/>
  <w:compat/>
  <w:rsids>
    <w:rsidRoot w:val="008C4218"/>
    <w:rsid w:val="000C060E"/>
    <w:rsid w:val="003C596F"/>
    <w:rsid w:val="00793D51"/>
    <w:rsid w:val="008C4218"/>
    <w:rsid w:val="0092288C"/>
    <w:rsid w:val="00A2621B"/>
    <w:rsid w:val="00CB0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1B"/>
  </w:style>
  <w:style w:type="paragraph" w:styleId="Heading2">
    <w:name w:val="heading 2"/>
    <w:basedOn w:val="Normal"/>
    <w:next w:val="Normal"/>
    <w:link w:val="Heading2Char"/>
    <w:uiPriority w:val="9"/>
    <w:semiHidden/>
    <w:unhideWhenUsed/>
    <w:qFormat/>
    <w:rsid w:val="00922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42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42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4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2288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8276136">
      <w:bodyDiv w:val="1"/>
      <w:marLeft w:val="0"/>
      <w:marRight w:val="0"/>
      <w:marTop w:val="0"/>
      <w:marBottom w:val="0"/>
      <w:divBdr>
        <w:top w:val="none" w:sz="0" w:space="0" w:color="auto"/>
        <w:left w:val="none" w:sz="0" w:space="0" w:color="auto"/>
        <w:bottom w:val="none" w:sz="0" w:space="0" w:color="auto"/>
        <w:right w:val="none" w:sz="0" w:space="0" w:color="auto"/>
      </w:divBdr>
      <w:divsChild>
        <w:div w:id="1276251502">
          <w:marLeft w:val="0"/>
          <w:marRight w:val="0"/>
          <w:marTop w:val="0"/>
          <w:marBottom w:val="0"/>
          <w:divBdr>
            <w:top w:val="none" w:sz="0" w:space="0" w:color="auto"/>
            <w:left w:val="none" w:sz="0" w:space="0" w:color="auto"/>
            <w:bottom w:val="none" w:sz="0" w:space="0" w:color="auto"/>
            <w:right w:val="none" w:sz="0" w:space="0" w:color="auto"/>
          </w:divBdr>
        </w:div>
        <w:div w:id="1224869508">
          <w:marLeft w:val="0"/>
          <w:marRight w:val="0"/>
          <w:marTop w:val="0"/>
          <w:marBottom w:val="0"/>
          <w:divBdr>
            <w:top w:val="none" w:sz="0" w:space="0" w:color="auto"/>
            <w:left w:val="none" w:sz="0" w:space="0" w:color="auto"/>
            <w:bottom w:val="none" w:sz="0" w:space="0" w:color="auto"/>
            <w:right w:val="none" w:sz="0" w:space="0" w:color="auto"/>
          </w:divBdr>
        </w:div>
        <w:div w:id="2136364058">
          <w:marLeft w:val="0"/>
          <w:marRight w:val="0"/>
          <w:marTop w:val="0"/>
          <w:marBottom w:val="0"/>
          <w:divBdr>
            <w:top w:val="none" w:sz="0" w:space="0" w:color="auto"/>
            <w:left w:val="none" w:sz="0" w:space="0" w:color="auto"/>
            <w:bottom w:val="none" w:sz="0" w:space="0" w:color="auto"/>
            <w:right w:val="none" w:sz="0" w:space="0" w:color="auto"/>
          </w:divBdr>
        </w:div>
      </w:divsChild>
    </w:div>
    <w:div w:id="394668957">
      <w:bodyDiv w:val="1"/>
      <w:marLeft w:val="0"/>
      <w:marRight w:val="0"/>
      <w:marTop w:val="0"/>
      <w:marBottom w:val="0"/>
      <w:divBdr>
        <w:top w:val="none" w:sz="0" w:space="0" w:color="auto"/>
        <w:left w:val="none" w:sz="0" w:space="0" w:color="auto"/>
        <w:bottom w:val="none" w:sz="0" w:space="0" w:color="auto"/>
        <w:right w:val="none" w:sz="0" w:space="0" w:color="auto"/>
      </w:divBdr>
      <w:divsChild>
        <w:div w:id="1256475149">
          <w:marLeft w:val="0"/>
          <w:marRight w:val="0"/>
          <w:marTop w:val="0"/>
          <w:marBottom w:val="0"/>
          <w:divBdr>
            <w:top w:val="none" w:sz="0" w:space="0" w:color="auto"/>
            <w:left w:val="none" w:sz="0" w:space="0" w:color="auto"/>
            <w:bottom w:val="none" w:sz="0" w:space="0" w:color="auto"/>
            <w:right w:val="none" w:sz="0" w:space="0" w:color="auto"/>
          </w:divBdr>
        </w:div>
        <w:div w:id="1636066054">
          <w:marLeft w:val="0"/>
          <w:marRight w:val="0"/>
          <w:marTop w:val="0"/>
          <w:marBottom w:val="0"/>
          <w:divBdr>
            <w:top w:val="none" w:sz="0" w:space="0" w:color="auto"/>
            <w:left w:val="none" w:sz="0" w:space="0" w:color="auto"/>
            <w:bottom w:val="none" w:sz="0" w:space="0" w:color="auto"/>
            <w:right w:val="none" w:sz="0" w:space="0" w:color="auto"/>
          </w:divBdr>
        </w:div>
        <w:div w:id="259265368">
          <w:marLeft w:val="0"/>
          <w:marRight w:val="0"/>
          <w:marTop w:val="0"/>
          <w:marBottom w:val="0"/>
          <w:divBdr>
            <w:top w:val="none" w:sz="0" w:space="0" w:color="auto"/>
            <w:left w:val="none" w:sz="0" w:space="0" w:color="auto"/>
            <w:bottom w:val="none" w:sz="0" w:space="0" w:color="auto"/>
            <w:right w:val="none" w:sz="0" w:space="0" w:color="auto"/>
          </w:divBdr>
        </w:div>
        <w:div w:id="1657370820">
          <w:marLeft w:val="0"/>
          <w:marRight w:val="0"/>
          <w:marTop w:val="0"/>
          <w:marBottom w:val="0"/>
          <w:divBdr>
            <w:top w:val="none" w:sz="0" w:space="0" w:color="auto"/>
            <w:left w:val="none" w:sz="0" w:space="0" w:color="auto"/>
            <w:bottom w:val="none" w:sz="0" w:space="0" w:color="auto"/>
            <w:right w:val="none" w:sz="0" w:space="0" w:color="auto"/>
          </w:divBdr>
        </w:div>
        <w:div w:id="660546963">
          <w:marLeft w:val="0"/>
          <w:marRight w:val="0"/>
          <w:marTop w:val="0"/>
          <w:marBottom w:val="0"/>
          <w:divBdr>
            <w:top w:val="none" w:sz="0" w:space="0" w:color="auto"/>
            <w:left w:val="none" w:sz="0" w:space="0" w:color="auto"/>
            <w:bottom w:val="none" w:sz="0" w:space="0" w:color="auto"/>
            <w:right w:val="none" w:sz="0" w:space="0" w:color="auto"/>
          </w:divBdr>
        </w:div>
        <w:div w:id="443430696">
          <w:marLeft w:val="0"/>
          <w:marRight w:val="0"/>
          <w:marTop w:val="0"/>
          <w:marBottom w:val="0"/>
          <w:divBdr>
            <w:top w:val="none" w:sz="0" w:space="0" w:color="auto"/>
            <w:left w:val="none" w:sz="0" w:space="0" w:color="auto"/>
            <w:bottom w:val="none" w:sz="0" w:space="0" w:color="auto"/>
            <w:right w:val="none" w:sz="0" w:space="0" w:color="auto"/>
          </w:divBdr>
        </w:div>
        <w:div w:id="1822886442">
          <w:marLeft w:val="0"/>
          <w:marRight w:val="0"/>
          <w:marTop w:val="0"/>
          <w:marBottom w:val="0"/>
          <w:divBdr>
            <w:top w:val="none" w:sz="0" w:space="0" w:color="auto"/>
            <w:left w:val="none" w:sz="0" w:space="0" w:color="auto"/>
            <w:bottom w:val="none" w:sz="0" w:space="0" w:color="auto"/>
            <w:right w:val="none" w:sz="0" w:space="0" w:color="auto"/>
          </w:divBdr>
        </w:div>
        <w:div w:id="1729184144">
          <w:marLeft w:val="0"/>
          <w:marRight w:val="0"/>
          <w:marTop w:val="0"/>
          <w:marBottom w:val="0"/>
          <w:divBdr>
            <w:top w:val="none" w:sz="0" w:space="0" w:color="auto"/>
            <w:left w:val="none" w:sz="0" w:space="0" w:color="auto"/>
            <w:bottom w:val="none" w:sz="0" w:space="0" w:color="auto"/>
            <w:right w:val="none" w:sz="0" w:space="0" w:color="auto"/>
          </w:divBdr>
        </w:div>
        <w:div w:id="1090200554">
          <w:marLeft w:val="0"/>
          <w:marRight w:val="0"/>
          <w:marTop w:val="0"/>
          <w:marBottom w:val="0"/>
          <w:divBdr>
            <w:top w:val="none" w:sz="0" w:space="0" w:color="auto"/>
            <w:left w:val="none" w:sz="0" w:space="0" w:color="auto"/>
            <w:bottom w:val="none" w:sz="0" w:space="0" w:color="auto"/>
            <w:right w:val="none" w:sz="0" w:space="0" w:color="auto"/>
          </w:divBdr>
        </w:div>
        <w:div w:id="1628464165">
          <w:marLeft w:val="0"/>
          <w:marRight w:val="0"/>
          <w:marTop w:val="0"/>
          <w:marBottom w:val="0"/>
          <w:divBdr>
            <w:top w:val="none" w:sz="0" w:space="0" w:color="auto"/>
            <w:left w:val="none" w:sz="0" w:space="0" w:color="auto"/>
            <w:bottom w:val="none" w:sz="0" w:space="0" w:color="auto"/>
            <w:right w:val="none" w:sz="0" w:space="0" w:color="auto"/>
          </w:divBdr>
        </w:div>
        <w:div w:id="148401789">
          <w:marLeft w:val="0"/>
          <w:marRight w:val="0"/>
          <w:marTop w:val="0"/>
          <w:marBottom w:val="0"/>
          <w:divBdr>
            <w:top w:val="none" w:sz="0" w:space="0" w:color="auto"/>
            <w:left w:val="none" w:sz="0" w:space="0" w:color="auto"/>
            <w:bottom w:val="none" w:sz="0" w:space="0" w:color="auto"/>
            <w:right w:val="none" w:sz="0" w:space="0" w:color="auto"/>
          </w:divBdr>
        </w:div>
        <w:div w:id="1265114892">
          <w:marLeft w:val="0"/>
          <w:marRight w:val="0"/>
          <w:marTop w:val="0"/>
          <w:marBottom w:val="0"/>
          <w:divBdr>
            <w:top w:val="none" w:sz="0" w:space="0" w:color="auto"/>
            <w:left w:val="none" w:sz="0" w:space="0" w:color="auto"/>
            <w:bottom w:val="none" w:sz="0" w:space="0" w:color="auto"/>
            <w:right w:val="none" w:sz="0" w:space="0" w:color="auto"/>
          </w:divBdr>
        </w:div>
      </w:divsChild>
    </w:div>
    <w:div w:id="469594040">
      <w:bodyDiv w:val="1"/>
      <w:marLeft w:val="0"/>
      <w:marRight w:val="0"/>
      <w:marTop w:val="0"/>
      <w:marBottom w:val="0"/>
      <w:divBdr>
        <w:top w:val="none" w:sz="0" w:space="0" w:color="auto"/>
        <w:left w:val="none" w:sz="0" w:space="0" w:color="auto"/>
        <w:bottom w:val="none" w:sz="0" w:space="0" w:color="auto"/>
        <w:right w:val="none" w:sz="0" w:space="0" w:color="auto"/>
      </w:divBdr>
      <w:divsChild>
        <w:div w:id="40180031">
          <w:marLeft w:val="0"/>
          <w:marRight w:val="0"/>
          <w:marTop w:val="0"/>
          <w:marBottom w:val="0"/>
          <w:divBdr>
            <w:top w:val="none" w:sz="0" w:space="0" w:color="auto"/>
            <w:left w:val="none" w:sz="0" w:space="0" w:color="auto"/>
            <w:bottom w:val="none" w:sz="0" w:space="0" w:color="auto"/>
            <w:right w:val="none" w:sz="0" w:space="0" w:color="auto"/>
          </w:divBdr>
          <w:divsChild>
            <w:div w:id="1263151411">
              <w:marLeft w:val="0"/>
              <w:marRight w:val="0"/>
              <w:marTop w:val="0"/>
              <w:marBottom w:val="0"/>
              <w:divBdr>
                <w:top w:val="none" w:sz="0" w:space="0" w:color="auto"/>
                <w:left w:val="none" w:sz="0" w:space="0" w:color="auto"/>
                <w:bottom w:val="none" w:sz="0" w:space="0" w:color="auto"/>
                <w:right w:val="none" w:sz="0" w:space="0" w:color="auto"/>
              </w:divBdr>
            </w:div>
            <w:div w:id="798718909">
              <w:marLeft w:val="0"/>
              <w:marRight w:val="0"/>
              <w:marTop w:val="0"/>
              <w:marBottom w:val="0"/>
              <w:divBdr>
                <w:top w:val="none" w:sz="0" w:space="0" w:color="auto"/>
                <w:left w:val="none" w:sz="0" w:space="0" w:color="auto"/>
                <w:bottom w:val="none" w:sz="0" w:space="0" w:color="auto"/>
                <w:right w:val="none" w:sz="0" w:space="0" w:color="auto"/>
              </w:divBdr>
            </w:div>
            <w:div w:id="485703011">
              <w:marLeft w:val="0"/>
              <w:marRight w:val="0"/>
              <w:marTop w:val="0"/>
              <w:marBottom w:val="0"/>
              <w:divBdr>
                <w:top w:val="none" w:sz="0" w:space="0" w:color="auto"/>
                <w:left w:val="none" w:sz="0" w:space="0" w:color="auto"/>
                <w:bottom w:val="none" w:sz="0" w:space="0" w:color="auto"/>
                <w:right w:val="none" w:sz="0" w:space="0" w:color="auto"/>
              </w:divBdr>
            </w:div>
            <w:div w:id="619803124">
              <w:marLeft w:val="0"/>
              <w:marRight w:val="0"/>
              <w:marTop w:val="0"/>
              <w:marBottom w:val="0"/>
              <w:divBdr>
                <w:top w:val="none" w:sz="0" w:space="0" w:color="auto"/>
                <w:left w:val="none" w:sz="0" w:space="0" w:color="auto"/>
                <w:bottom w:val="none" w:sz="0" w:space="0" w:color="auto"/>
                <w:right w:val="none" w:sz="0" w:space="0" w:color="auto"/>
              </w:divBdr>
            </w:div>
            <w:div w:id="917977119">
              <w:marLeft w:val="0"/>
              <w:marRight w:val="0"/>
              <w:marTop w:val="0"/>
              <w:marBottom w:val="0"/>
              <w:divBdr>
                <w:top w:val="none" w:sz="0" w:space="0" w:color="auto"/>
                <w:left w:val="none" w:sz="0" w:space="0" w:color="auto"/>
                <w:bottom w:val="none" w:sz="0" w:space="0" w:color="auto"/>
                <w:right w:val="none" w:sz="0" w:space="0" w:color="auto"/>
              </w:divBdr>
            </w:div>
            <w:div w:id="89401142">
              <w:marLeft w:val="0"/>
              <w:marRight w:val="0"/>
              <w:marTop w:val="0"/>
              <w:marBottom w:val="0"/>
              <w:divBdr>
                <w:top w:val="none" w:sz="0" w:space="0" w:color="auto"/>
                <w:left w:val="none" w:sz="0" w:space="0" w:color="auto"/>
                <w:bottom w:val="none" w:sz="0" w:space="0" w:color="auto"/>
                <w:right w:val="none" w:sz="0" w:space="0" w:color="auto"/>
              </w:divBdr>
            </w:div>
            <w:div w:id="101069782">
              <w:marLeft w:val="0"/>
              <w:marRight w:val="0"/>
              <w:marTop w:val="0"/>
              <w:marBottom w:val="0"/>
              <w:divBdr>
                <w:top w:val="none" w:sz="0" w:space="0" w:color="auto"/>
                <w:left w:val="none" w:sz="0" w:space="0" w:color="auto"/>
                <w:bottom w:val="none" w:sz="0" w:space="0" w:color="auto"/>
                <w:right w:val="none" w:sz="0" w:space="0" w:color="auto"/>
              </w:divBdr>
            </w:div>
            <w:div w:id="613249250">
              <w:marLeft w:val="0"/>
              <w:marRight w:val="0"/>
              <w:marTop w:val="0"/>
              <w:marBottom w:val="0"/>
              <w:divBdr>
                <w:top w:val="none" w:sz="0" w:space="0" w:color="auto"/>
                <w:left w:val="none" w:sz="0" w:space="0" w:color="auto"/>
                <w:bottom w:val="none" w:sz="0" w:space="0" w:color="auto"/>
                <w:right w:val="none" w:sz="0" w:space="0" w:color="auto"/>
              </w:divBdr>
            </w:div>
            <w:div w:id="7576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8868">
      <w:bodyDiv w:val="1"/>
      <w:marLeft w:val="0"/>
      <w:marRight w:val="0"/>
      <w:marTop w:val="0"/>
      <w:marBottom w:val="0"/>
      <w:divBdr>
        <w:top w:val="none" w:sz="0" w:space="0" w:color="auto"/>
        <w:left w:val="none" w:sz="0" w:space="0" w:color="auto"/>
        <w:bottom w:val="none" w:sz="0" w:space="0" w:color="auto"/>
        <w:right w:val="none" w:sz="0" w:space="0" w:color="auto"/>
      </w:divBdr>
      <w:divsChild>
        <w:div w:id="55470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803</Words>
  <Characters>4582</Characters>
  <Application>Microsoft Office Word</Application>
  <DocSecurity>0</DocSecurity>
  <Lines>38</Lines>
  <Paragraphs>10</Paragraphs>
  <ScaleCrop>false</ScaleCrop>
  <Company>Hewlett-Packard</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NJOROGE KINYANJUI</dc:creator>
  <cp:lastModifiedBy>JOSEPH NJOROGE KINYANJUI</cp:lastModifiedBy>
  <cp:revision>5</cp:revision>
  <dcterms:created xsi:type="dcterms:W3CDTF">2017-09-21T03:56:00Z</dcterms:created>
  <dcterms:modified xsi:type="dcterms:W3CDTF">2017-09-21T04:02:00Z</dcterms:modified>
</cp:coreProperties>
</file>