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C1" w:rsidRPr="00FB4652" w:rsidRDefault="00FB4652">
      <w:pPr>
        <w:rPr>
          <w:b/>
          <w:sz w:val="24"/>
          <w:szCs w:val="24"/>
          <w:u w:val="single"/>
        </w:rPr>
      </w:pPr>
      <w:r w:rsidRPr="00FB4652">
        <w:rPr>
          <w:b/>
          <w:sz w:val="24"/>
          <w:szCs w:val="24"/>
          <w:u w:val="single"/>
        </w:rPr>
        <w:t>TRACTION</w:t>
      </w:r>
    </w:p>
    <w:p w:rsidR="00FB4652" w:rsidRDefault="00FB4652">
      <w:r>
        <w:t>Indications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Fracture management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Dislocations – Knee, hip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Septic Arthritis of hip and knee to decrease pain and decrease subluxation risk (usually secondary to fluid in the joint)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Prolapsed intervertebral disc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Cervical Injuries</w:t>
      </w:r>
    </w:p>
    <w:p w:rsidR="00FB4652" w:rsidRDefault="00FB4652" w:rsidP="00FB4652">
      <w:r>
        <w:t>Classification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 xml:space="preserve"> Balanced vs fixed</w:t>
      </w:r>
    </w:p>
    <w:p w:rsidR="00FB4652" w:rsidRDefault="00FB4652" w:rsidP="00FB4652">
      <w:pPr>
        <w:pStyle w:val="ListParagraph"/>
        <w:numPr>
          <w:ilvl w:val="0"/>
          <w:numId w:val="1"/>
        </w:numPr>
      </w:pPr>
      <w:r>
        <w:t>Skeletal vs. Skin</w:t>
      </w:r>
    </w:p>
    <w:p w:rsidR="00FB4652" w:rsidRDefault="00FA4FEB" w:rsidP="00FB4652">
      <w:r>
        <w:t>Factors determining</w:t>
      </w:r>
      <w:r w:rsidR="00FB4652">
        <w:t xml:space="preserve"> type of traction</w:t>
      </w:r>
    </w:p>
    <w:p w:rsidR="00FB4652" w:rsidRDefault="00FB4652" w:rsidP="00FB4652">
      <w:pPr>
        <w:pStyle w:val="ListParagraph"/>
        <w:numPr>
          <w:ilvl w:val="0"/>
          <w:numId w:val="2"/>
        </w:numPr>
      </w:pPr>
      <w:r>
        <w:t>Duration</w:t>
      </w:r>
    </w:p>
    <w:p w:rsidR="00236611" w:rsidRDefault="00236611" w:rsidP="00236611">
      <w:pPr>
        <w:pStyle w:val="ListParagraph"/>
        <w:ind w:left="360"/>
      </w:pPr>
      <w:r>
        <w:t>If short use skin traction</w:t>
      </w:r>
    </w:p>
    <w:p w:rsidR="00236611" w:rsidRDefault="00236611" w:rsidP="00FB4652">
      <w:pPr>
        <w:pStyle w:val="ListParagraph"/>
        <w:numPr>
          <w:ilvl w:val="0"/>
          <w:numId w:val="2"/>
        </w:numPr>
      </w:pPr>
      <w:r>
        <w:t xml:space="preserve">Age </w:t>
      </w:r>
    </w:p>
    <w:p w:rsidR="00236611" w:rsidRDefault="00236611" w:rsidP="00236611">
      <w:pPr>
        <w:pStyle w:val="ListParagraph"/>
        <w:ind w:left="360"/>
      </w:pPr>
      <w:r>
        <w:t>Children and Elderly – Skin traction. Muscle bulk is reduced so can be used effectively without muscle pulling bones away.</w:t>
      </w:r>
    </w:p>
    <w:p w:rsidR="00236611" w:rsidRDefault="00236611" w:rsidP="00236611">
      <w:r>
        <w:t xml:space="preserve">Parts of an </w:t>
      </w:r>
      <w:r w:rsidR="00FA4FEB">
        <w:t>orthopedic</w:t>
      </w:r>
      <w:r>
        <w:t xml:space="preserve"> bed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Parallel bars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Monkey chain hang on parallel bars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Vertical bars where the weight pulleys are suspended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Bed and mattress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Counter traction – bed raised at distal end passed on weight</w:t>
      </w:r>
    </w:p>
    <w:p w:rsidR="007F7640" w:rsidRDefault="007F7640" w:rsidP="007F7640">
      <w:r>
        <w:t>Pins commonly used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Steinmann pins</w:t>
      </w:r>
    </w:p>
    <w:p w:rsidR="00236611" w:rsidRDefault="00FA4FEB" w:rsidP="00236611">
      <w:pPr>
        <w:pStyle w:val="ListParagraph"/>
        <w:numPr>
          <w:ilvl w:val="0"/>
          <w:numId w:val="2"/>
        </w:numPr>
      </w:pPr>
      <w:r>
        <w:t>Denham</w:t>
      </w:r>
      <w:r w:rsidR="00236611">
        <w:t xml:space="preserve"> pins</w:t>
      </w:r>
    </w:p>
    <w:p w:rsidR="00236611" w:rsidRDefault="00236611" w:rsidP="00236611">
      <w:pPr>
        <w:pStyle w:val="ListParagraph"/>
        <w:numPr>
          <w:ilvl w:val="0"/>
          <w:numId w:val="2"/>
        </w:numPr>
      </w:pPr>
      <w:r>
        <w:t>K wire</w:t>
      </w:r>
      <w:bookmarkStart w:id="0" w:name="_GoBack"/>
      <w:bookmarkEnd w:id="0"/>
    </w:p>
    <w:sectPr w:rsidR="00236611" w:rsidSect="00E54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BF6"/>
    <w:multiLevelType w:val="hybridMultilevel"/>
    <w:tmpl w:val="D2FE1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A6F97"/>
    <w:multiLevelType w:val="hybridMultilevel"/>
    <w:tmpl w:val="EFEA91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B4652"/>
    <w:rsid w:val="00236611"/>
    <w:rsid w:val="007F7640"/>
    <w:rsid w:val="00E54FC1"/>
    <w:rsid w:val="00FA4FEB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D375"/>
  <w15:docId w15:val="{4ACA8DD5-0130-485A-B960-390F463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Kennedy</cp:lastModifiedBy>
  <cp:revision>3</cp:revision>
  <dcterms:created xsi:type="dcterms:W3CDTF">2007-11-22T14:20:00Z</dcterms:created>
  <dcterms:modified xsi:type="dcterms:W3CDTF">2019-06-05T19:44:00Z</dcterms:modified>
</cp:coreProperties>
</file>