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yle="position:absolute;margin-left:78.05pt;margin-top:1.25pt;width:356.9pt;height:343.1pt;z-index:2;mso-position-horizontal-relative:text;mso-position-vertical-relative:text;mso-width-relative:page;mso-height-relative:margin;mso-wrap-distance-left:0.0pt;mso-wrap-distance-right:0.0pt;visibility:visible;">
            <v:stroke joinstyle="miter" weight=".5pt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sz w:val="62"/>
                    </w:rPr>
                  </w:pP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sz w:val="62"/>
                    </w:rPr>
                  </w:pPr>
                  <w:r>
                    <w:rPr>
                      <w:rFonts w:ascii="Times New Roman" w:hAnsi="Times New Roman"/>
                      <w:b/>
                      <w:sz w:val="62"/>
                    </w:rPr>
                    <w:t>SUPRACONDYLAR FRACTURES.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sz w:val="62"/>
                    </w:rPr>
                  </w:pPr>
                  <w:r>
                    <w:rPr>
                      <w:rFonts w:ascii="Times New Roman" w:hAnsi="Times New Roman"/>
                      <w:b/>
                      <w:sz w:val="62"/>
                    </w:rPr>
                    <w:t>By Evans Nyakundi Lecturer KMTC KISII CAMPUS</w:t>
                  </w:r>
                </w:p>
              </w:txbxContent>
            </v:textbox>
          </v:shape>
        </w:pic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160" w:lineRule="auto" w:line="25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They are among the commonest fractures in children. The distal fragment may be displaced either posteriorly or anteriorly.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179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Mechanism of injury.</w:t>
      </w:r>
    </w:p>
    <w:p>
      <w:pPr>
        <w:pStyle w:val="style179"/>
        <w:numPr>
          <w:ilvl w:val="0"/>
          <w:numId w:val="1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Usually a fall on the outstretched hand.</w:t>
      </w:r>
    </w:p>
    <w:p>
      <w:pPr>
        <w:pStyle w:val="style179"/>
        <w:numPr>
          <w:ilvl w:val="0"/>
          <w:numId w:val="1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95% of all cases causes posterior angulation or displacement [Hyperextension injury].</w:t>
      </w:r>
    </w:p>
    <w:p>
      <w:pPr>
        <w:pStyle w:val="style179"/>
        <w:numPr>
          <w:ilvl w:val="0"/>
          <w:numId w:val="1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humerus breaks just above the condyles. The distal fragment is pushed backwards and (because the forearm is usually in pronation) twisted </w:t>
      </w:r>
      <w:r>
        <w:rPr>
          <w:rFonts w:ascii="Times New Roman" w:hAnsi="Times New Roman"/>
          <w:b/>
          <w:sz w:val="24"/>
          <w:szCs w:val="24"/>
        </w:rPr>
        <w:t>inwards. The</w:t>
      </w:r>
      <w:r>
        <w:rPr>
          <w:rFonts w:ascii="Times New Roman" w:hAnsi="Times New Roman"/>
          <w:b/>
          <w:sz w:val="24"/>
          <w:szCs w:val="24"/>
        </w:rPr>
        <w:t xml:space="preserve"> jagged end of the proximal fragments</w:t>
      </w:r>
      <w:r>
        <w:rPr>
          <w:rFonts w:ascii="Times New Roman" w:hAnsi="Times New Roman"/>
          <w:b/>
          <w:sz w:val="24"/>
          <w:szCs w:val="24"/>
        </w:rPr>
        <w:t xml:space="preserve"> pokes into the soft tissues anteriorly, sometimes injuring the brachial artery or median nerve</w:t>
      </w:r>
    </w:p>
    <w:p>
      <w:pPr>
        <w:pStyle w:val="style179"/>
        <w:numPr>
          <w:ilvl w:val="0"/>
          <w:numId w:val="1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Anterior displacement is rare; it is thought to be due to direct violence (e.g. a fall on the point of the elbow) with the joint in flexion.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Classification.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Type I-------An undisplaced fracture.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Type II------An angulated fracture with posterior cortex still in continuity.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IIA----A less severe injury with the distal fragment merely angulated.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IIB-----A severe injury, the fragment is both angulated and malrotated.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TypeIII-------A completely displaced fracture. (although the posterior periosteum is usually preserved, which will assist surgical reduction).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features.</w:t>
      </w:r>
    </w:p>
    <w:p>
      <w:pPr>
        <w:pStyle w:val="style179"/>
        <w:numPr>
          <w:ilvl w:val="0"/>
          <w:numId w:val="7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Pain</w:t>
      </w:r>
    </w:p>
    <w:p>
      <w:pPr>
        <w:pStyle w:val="style179"/>
        <w:numPr>
          <w:ilvl w:val="0"/>
          <w:numId w:val="7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Swollen elbow joint</w:t>
      </w:r>
    </w:p>
    <w:p>
      <w:pPr>
        <w:pStyle w:val="style179"/>
        <w:numPr>
          <w:ilvl w:val="0"/>
          <w:numId w:val="7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Posterior displacement shows obvious S-deformity of the elbow.</w:t>
      </w:r>
    </w:p>
    <w:p>
      <w:pPr>
        <w:pStyle w:val="style179"/>
        <w:numPr>
          <w:ilvl w:val="0"/>
          <w:numId w:val="7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Abnormal bony landmarks.</w:t>
      </w:r>
    </w:p>
    <w:p>
      <w:pPr>
        <w:pStyle w:val="style179"/>
        <w:numPr>
          <w:ilvl w:val="0"/>
          <w:numId w:val="7"/>
        </w:numPr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Inability to use the arm.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Feel the pulse and check the capillary return. Wrist and hand should be examined for evidence of nerve injury.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center" w:leader="none" w:pos="4680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Diagnosis.</w:t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X-ray Lateral view.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Measurement of Baumann’s angle is useful in assessing the degree of medial angulation before and after reduction.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 there is even a suspicion of a fracture the elbow is gently splinted in 30 degrees of flexion to prevent movement and possible neurovascular injury the x-ray examination.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I: Undisplaced #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Elbow is immobilized at 90 degrees and a neutral rotation in a light weight splint or cast and arm is supported by a sling. Check x-ray 5-7 days later to check if there is any displacement. Retain the splint for 3 weeks and supervised movement is allowed.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Type IIA: Posteriorly Angulated Fracture-Mild.  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Reduce # under local anaesthesia(LA).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Stepwise manoeuvre: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1.Traction for 2-3days in the length of the arm with counter traction above the elbow.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2.Correction of sideways tilt or shift and rotation (in comparison with the other arm).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3.Gradual flexion of the elbow to 120 degrees and pronation of the forearm, while maintaining traction and exerting finger pressure behind the distal fragment to correct posterior </w:t>
      </w:r>
      <w:r>
        <w:rPr>
          <w:rFonts w:ascii="Times New Roman" w:hAnsi="Times New Roman"/>
          <w:b/>
          <w:sz w:val="24"/>
          <w:szCs w:val="24"/>
        </w:rPr>
        <w:t>tilt. Then</w:t>
      </w:r>
      <w:r>
        <w:rPr>
          <w:rFonts w:ascii="Times New Roman" w:hAnsi="Times New Roman"/>
          <w:b/>
          <w:sz w:val="24"/>
          <w:szCs w:val="24"/>
        </w:rPr>
        <w:t xml:space="preserve"> fill the pulse and check </w:t>
      </w:r>
      <w:r>
        <w:rPr>
          <w:rFonts w:ascii="Times New Roman" w:hAnsi="Times New Roman"/>
          <w:b/>
          <w:sz w:val="24"/>
          <w:szCs w:val="24"/>
        </w:rPr>
        <w:t>capillary, immediately relax the amount of elbow flexion until it improves.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a check x-ray to confirm appropriate reduction?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Unstable fracture will require open reduction.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 Band III: ANGULATED AND MALROTATED or POSTERIORLY DISPLACED.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Severe swelling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Often unstable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Difficult to reduce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High risks of neurovascular injury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Circulatory compromise due to swelling.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EMERGENCY OPRATION IN THEATRE.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Indications for operation: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1.Fracture which cannot be reduced closed.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2.An open fracture(COMPOUND).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3.Fracture associated with vascular damage.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CONTINOUS TRACTION.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Traction through a screw in the olecranon, with the arm held overhead can be used.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TREATMENT OF ANTERIORLY DISPLACED FRACTURE.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This is a rare injury (less than 5% of supracondylar fractures).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&gt;</w:t>
      </w:r>
      <w:r>
        <w:rPr>
          <w:rFonts w:ascii="Times New Roman" w:hAnsi="Times New Roman"/>
          <w:b/>
          <w:sz w:val="24"/>
          <w:szCs w:val="24"/>
        </w:rPr>
        <w:t>Stable------reduction and a posterior slab is bandaged for 3 weeks.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&gt;</w:t>
      </w:r>
      <w:r>
        <w:rPr>
          <w:rFonts w:ascii="Times New Roman" w:hAnsi="Times New Roman"/>
          <w:b/>
          <w:sz w:val="24"/>
          <w:szCs w:val="24"/>
        </w:rPr>
        <w:t>Unstable------percutane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us</w:t>
      </w:r>
      <w:r>
        <w:rPr>
          <w:rFonts w:ascii="Times New Roman" w:hAnsi="Times New Roman"/>
          <w:b/>
          <w:sz w:val="24"/>
          <w:szCs w:val="24"/>
        </w:rPr>
        <w:t xml:space="preserve"> pins are used.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COMPLICATIONS.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Early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1.Vascular injury---brachial artery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2.Nerve injury----Radial nerve, median nerve and ulna nerve.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3.Compartment syndrome.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Late.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1.Malunion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2.Elbow joint stiffness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3.Myositis ossificans—Rare but it can </w:t>
      </w:r>
      <w:r>
        <w:rPr>
          <w:rFonts w:ascii="Times New Roman" w:hAnsi="Times New Roman"/>
          <w:b/>
          <w:sz w:val="24"/>
          <w:szCs w:val="24"/>
        </w:rPr>
        <w:t xml:space="preserve">occur. Formation of bone tissue </w:t>
      </w:r>
      <w:r>
        <w:rPr>
          <w:rFonts w:ascii="Times New Roman" w:hAnsi="Times New Roman"/>
          <w:b/>
          <w:sz w:val="24"/>
          <w:szCs w:val="24"/>
        </w:rPr>
        <w:t>inside muscle after an injury.</w:t>
      </w: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215"/>
        </w:tabs>
        <w:spacing w:after="0" w:lineRule="auto" w:line="360"/>
        <w:jc w:val="center"/>
        <w:rPr>
          <w:rFonts w:ascii="Times New Roman" w:hAnsi="Times New Roman"/>
          <w:b/>
          <w:sz w:val="24"/>
          <w:szCs w:val="24"/>
        </w:rPr>
      </w:pPr>
    </w:p>
    <w:bookmarkStart w:id="0" w:name="_GoBack"/>
    <w:bookmarkEnd w:id="0"/>
    <w:p>
      <w:pPr>
        <w:pStyle w:val="style0"/>
        <w:tabs>
          <w:tab w:val="left" w:leader="none" w:pos="3215"/>
        </w:tabs>
        <w:spacing w:after="0" w:lineRule="auto" w:line="360"/>
        <w:jc w:val="center"/>
        <w:rPr>
          <w:rFonts w:ascii="Times New Roman" w:hAnsi="Times New Roman"/>
          <w:sz w:val="24"/>
          <w:szCs w:val="24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panose1 w:val="03010101010002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rPr/>
    </w:pPr>
  </w:p>
  <w:p>
    <w:pPr>
      <w:pStyle w:val="style32"/>
      <w:jc w:val="right"/>
      <w:rPr/>
    </w:pPr>
    <w:r>
      <w:t>Vivanet</w:t>
    </w:r>
    <w:r>
      <w:t xml:space="preserve"> Solutions – </w:t>
    </w:r>
    <w:r>
      <w:rPr>
        <w:rFonts w:ascii="Monotype Corsiva" w:hAnsi="Monotype Corsiva"/>
        <w:sz w:val="24"/>
        <w:szCs w:val="24"/>
      </w:rPr>
      <w:t>Course Development Template</w:t>
    </w:r>
    <w:r>
      <w:rPr>
        <w:rFonts w:ascii="Monotype Corsiva" w:hAnsi="Monotype Corsiva"/>
        <w:sz w:val="24"/>
        <w:szCs w:val="24"/>
      </w:rPr>
      <w:t xml:space="preserve">                                      </w:t>
    </w:r>
    <w:r>
      <w:t xml:space="preserve">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ind w:left="-540"/>
      <w:rPr/>
    </w:pPr>
    <w:r>
      <w:rPr>
        <w:noProof/>
      </w:rPr>
      <w:pict>
        <v:line id="3073" fillcolor="white" from="-21.9pt,36.5pt" to="503.95pt,37.45pt" style="position:absolute;z-index:2;mso-position-horizontal-relative:text;mso-position-vertical-relative:text;mso-width-relative:margin;mso-height-relative:page;mso-wrap-distance-left:0.0pt;mso-wrap-distance-right:0.0pt;visibility:visible;flip:y;">
          <v:stroke joinstyle="miter" color="#5b9bd5" weight="2.25pt"/>
          <v:fill/>
        </v:line>
      </w:pict>
    </w:r>
    <w:r>
      <w:rPr>
        <w:noProof/>
      </w:rPr>
      <w:drawing>
        <wp:inline distT="0" distB="0" distL="0" distR="0">
          <wp:extent cx="2681416" cy="539115"/>
          <wp:effectExtent l="0" t="0" r="5080" b="0"/>
          <wp:docPr id="3074" name="Image1" descr="logo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2681416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false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F90D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D5AC6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B5A8C7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after="240" w:lineRule="auto" w:line="240"/>
    </w:pPr>
    <w:rPr>
      <w:rFonts w:ascii="Tahoma" w:cs="Tahoma" w:eastAsia="Times New Roman" w:hAnsi="Tahoma"/>
      <w:sz w:val="24"/>
      <w:szCs w:val="24"/>
      <w:lang w:val="en-GB" w:eastAsia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Words>554</Words>
  <Characters>3216</Characters>
  <Application>Kingsoft Office Writer</Application>
  <DocSecurity>0</DocSecurity>
  <Paragraphs>104</Paragraphs>
  <ScaleCrop>false</ScaleCrop>
  <LinksUpToDate>false</LinksUpToDate>
  <CharactersWithSpaces>3853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2020-08-26T06:37:00Z</dcterms:created>
  <dc:creator>Windows User</dc:creator>
  <lastModifiedBy>Kingsoft Office</lastModifiedBy>
  <dcterms:modified xsi:type="dcterms:W3CDTF">2020-09-05T08:57:02Z</dcterms:modified>
  <revision>4</revision>
</coreProperties>
</file>